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W w:w="8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819"/>
        <w:gridCol w:w="5981"/>
        <w:gridCol w:w="1950"/>
        <w:gridCol w:w="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40" w:hRule="atLeast"/>
        </w:trPr>
        <w:tc>
          <w:tcPr>
            <w:tcW w:w="88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val="en-US" w:eastAsia="zh-CN"/>
              </w:rPr>
              <w:t>24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val="en-US" w:eastAsia="zh-CN"/>
              </w:rPr>
              <w:t>新疆维吾尔自治区本级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eastAsia="zh-CN"/>
              </w:rPr>
              <w:t>第一批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</w:rPr>
              <w:t>安排工作退役士兵安置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eastAsia="zh-CN"/>
              </w:rPr>
              <w:t>计划</w:t>
            </w:r>
          </w:p>
          <w:bookmarkEnd w:id="0"/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方正小标宋_GBK" w:hAnsi="方正小标宋_GBK" w:eastAsia="方正小标宋_GBK" w:cs="方正小标宋_GBK"/>
                <w:color w:val="auto"/>
                <w:sz w:val="44"/>
                <w:szCs w:val="4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90" w:hRule="atLeast"/>
        </w:trPr>
        <w:tc>
          <w:tcPr>
            <w:tcW w:w="8809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6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自治区人大办公厅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自治区政府办公厅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自治区政协办公厅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自治区党委组织部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自治区党委统战部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自治区党委社会工作部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自治区党委网信办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自治区党委军民融合办公室、国防动员办公室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自治区工信厅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自治区民族事务委员会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自治区自然资源厅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自治区生态环境厅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自治区交通运输厅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自治区水利厅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自治区退役军人事务厅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自治区数字化发展局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自治区监狱管理局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自治区团委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自治区科协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自治区社科联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自治区工商联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自治区社会主义学院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4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新疆农业科学院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新疆广播电视台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新疆能源（集团）有限责任公司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新疆中泰（集团）有限责任公司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00" w:hRule="atLeast"/>
        </w:trPr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新疆供销投资（控股）集团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41DF5"/>
    <w:rsid w:val="4F0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hAnsi="华文中宋" w:eastAsia="华文中宋"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2024-06-25T08:37:00Z</dcterms:created>
  <dc:creator>槿夏</dc:creator>
  <cp:lastModifiedBy>槿夏</cp:lastModifiedBy>
  <dcterms:modified xsi:type="dcterms:W3CDTF">2024-06-25T08:38:54Z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84823F18C92F4656B4C0A917DF0B2C69</vt:lpwstr>
  </property>
</Properties>
</file>